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26DDF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E474C"/>
          <w:spacing w:val="0"/>
          <w:sz w:val="44"/>
          <w:szCs w:val="44"/>
          <w:shd w:val="clear" w:color="auto" w:fill="auto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E474C"/>
          <w:spacing w:val="0"/>
          <w:sz w:val="44"/>
          <w:szCs w:val="44"/>
          <w:u w:val="single"/>
          <w:shd w:val="clear" w:color="auto" w:fill="auto"/>
          <w:lang w:val="en-US"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E474C"/>
          <w:spacing w:val="0"/>
          <w:sz w:val="44"/>
          <w:szCs w:val="44"/>
          <w:u w:val="single"/>
          <w:shd w:val="clear" w:color="auto" w:fill="auto"/>
        </w:rPr>
        <w:t>信息系统名称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E474C"/>
          <w:spacing w:val="0"/>
          <w:sz w:val="44"/>
          <w:szCs w:val="44"/>
          <w:u w:val="single"/>
          <w:shd w:val="clear" w:color="auto" w:fill="auto"/>
          <w:lang w:eastAsia="zh-CN"/>
        </w:rPr>
        <w:t>）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3E474C"/>
          <w:spacing w:val="0"/>
          <w:sz w:val="44"/>
          <w:szCs w:val="44"/>
          <w:shd w:val="clear" w:color="auto" w:fill="auto"/>
        </w:rPr>
        <w:t>网络信息安全责任书</w:t>
      </w:r>
    </w:p>
    <w:p w14:paraId="3E7B407E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根据《中华人民共和国网络安全法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eastAsia="zh-CN"/>
        </w:rPr>
        <w:t>》《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中华人民共和国计算机信息系统安全保护条例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eastAsia="zh-CN"/>
        </w:rPr>
        <w:t>》《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中华人民共和国民法典》等相关法律法规，按照“谁主管谁负责，谁使用谁负责，谁运维谁负责”的原则，现就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</w:t>
      </w:r>
      <w:r>
        <w:rPr>
          <w:rFonts w:hint="eastAsia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 w:eastAsia="zh-CN"/>
        </w:rPr>
        <w:t>部门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备案的 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网络信息安全责任与义务明确如下：</w:t>
      </w:r>
    </w:p>
    <w:p w14:paraId="3544F1F6">
      <w:pPr>
        <w:ind w:firstLine="56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一、安全责任内容</w:t>
      </w:r>
    </w:p>
    <w:p w14:paraId="2EE7FD49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>信息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中心负责为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 w:eastAsia="zh-CN"/>
        </w:rPr>
        <w:t>部门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的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提供运行所需的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物理空间环境、网络基础服务及其运维管理，并负责网络接入的安全防护与威胁监测、操作系统的漏洞检测与通告、终端防病毒系统的病毒库升级、服务器运维的安全审计管理、网络安全威胁预警通告等。</w:t>
      </w:r>
    </w:p>
    <w:p w14:paraId="241E0403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 w:eastAsia="zh-CN"/>
        </w:rPr>
        <w:t>部门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负责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运行所需的操作系统、中间件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/>
        </w:rPr>
        <w:t>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容器、应用系统、数据库系统、数据内容以及信息系统使用等的安全管理，确保师生个人信息以及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（系统涉及的数据内容）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等重要数据的安全性，防止重要数据和师生个人信息泄露，并履行信息系统安全隐患防范、运行维护与安全监测、安全事件应急响应与处置整改等义务。</w:t>
      </w:r>
    </w:p>
    <w:p w14:paraId="635D3B16">
      <w:pPr>
        <w:ind w:firstLine="56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二、安全责任人</w:t>
      </w:r>
    </w:p>
    <w:tbl>
      <w:tblPr>
        <w:tblStyle w:val="2"/>
        <w:tblW w:w="8522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auto" w:sz="6" w:space="0"/>
          <w:insideV w:val="outset" w:color="auto" w:sz="6" w:space="0"/>
        </w:tblBorders>
        <w:shd w:val="clear" w:color="auto" w:fill="F2F4F9"/>
        <w:tblLayout w:type="fixed"/>
        <w:tblCellMar>
          <w:top w:w="80" w:type="dxa"/>
          <w:left w:w="128" w:type="dxa"/>
          <w:bottom w:w="80" w:type="dxa"/>
          <w:right w:w="128" w:type="dxa"/>
        </w:tblCellMar>
      </w:tblPr>
      <w:tblGrid>
        <w:gridCol w:w="3369"/>
        <w:gridCol w:w="5153"/>
      </w:tblGrid>
      <w:tr w14:paraId="17BFDFE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2F4F9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33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50011A">
            <w:pPr>
              <w:snapToGrid w:val="0"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eastAsia="zh-CN"/>
              </w:rPr>
              <w:t>信息系统名称</w:t>
            </w:r>
          </w:p>
        </w:tc>
        <w:tc>
          <w:tcPr>
            <w:tcW w:w="515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B1011">
            <w:pPr>
              <w:snapToGrid w:val="0"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eastAsia="zh-CN"/>
              </w:rPr>
            </w:pPr>
          </w:p>
        </w:tc>
      </w:tr>
      <w:tr w14:paraId="3D444D3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2F4F9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33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201836">
            <w:pPr>
              <w:snapToGrid w:val="0"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>系统责任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lang w:val="en-US" w:eastAsia="zh-CN"/>
              </w:rPr>
              <w:t>部门</w:t>
            </w:r>
          </w:p>
        </w:tc>
        <w:tc>
          <w:tcPr>
            <w:tcW w:w="51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C5C76B">
            <w:pPr>
              <w:snapToGrid w:val="0"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</w:p>
        </w:tc>
      </w:tr>
      <w:tr w14:paraId="24CAEEA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2F4F9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33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80A746">
            <w:pPr>
              <w:snapToGrid w:val="0"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>第一责任人</w:t>
            </w:r>
          </w:p>
        </w:tc>
        <w:tc>
          <w:tcPr>
            <w:tcW w:w="51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DD447">
            <w:pPr>
              <w:snapToGrid w:val="0"/>
              <w:ind w:firstLine="56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>（部门负责人）</w:t>
            </w:r>
          </w:p>
        </w:tc>
      </w:tr>
      <w:tr w14:paraId="304B300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2F4F9"/>
          <w:tblCellMar>
            <w:top w:w="80" w:type="dxa"/>
            <w:left w:w="128" w:type="dxa"/>
            <w:bottom w:w="80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336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E79FF">
            <w:pPr>
              <w:snapToGrid w:val="0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  <w:t>系统负责人</w:t>
            </w:r>
          </w:p>
        </w:tc>
        <w:tc>
          <w:tcPr>
            <w:tcW w:w="515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C6271B">
            <w:pPr>
              <w:snapToGrid w:val="0"/>
              <w:ind w:firstLine="560" w:firstLineChars="20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</w:rPr>
            </w:pPr>
          </w:p>
        </w:tc>
      </w:tr>
    </w:tbl>
    <w:p w14:paraId="0C1A2CD3">
      <w:pPr>
        <w:ind w:firstLine="56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</w:p>
    <w:p w14:paraId="6C2C7406">
      <w:pPr>
        <w:ind w:firstLine="56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三、系统备案信息变更</w:t>
      </w:r>
    </w:p>
    <w:p w14:paraId="69F204C7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/>
        </w:rPr>
        <w:t>（1）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相关责任人如有变动，应及时向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>信息中心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报备；</w:t>
      </w:r>
    </w:p>
    <w:p w14:paraId="7DA49549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/>
        </w:rPr>
        <w:t>（2）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进行版本升级或停止使用时，应及时向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>信息中心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备案。</w:t>
      </w:r>
    </w:p>
    <w:p w14:paraId="1C8ED180">
      <w:pPr>
        <w:ind w:firstLine="560" w:firstLineChars="200"/>
        <w:jc w:val="both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四、应急处置措施和整改</w:t>
      </w:r>
    </w:p>
    <w:p w14:paraId="3362EE18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当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存在涉及网络、系统、应用、数据或内容等方面的网络信息安全事件或隐患时，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>信息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中心有权对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采取停止网络服务等应急处置措施，并通知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 w:eastAsia="zh-CN"/>
        </w:rPr>
        <w:t>部门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的系统负责人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 （姓名）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/>
        </w:rPr>
        <w:t>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/>
        </w:rPr>
        <w:t>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进行安全整改。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 w:eastAsia="zh-CN"/>
        </w:rPr>
        <w:t>部门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应负责督促、协调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的开发商按时完成整改工作，整改完成后，及时向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>信息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中心提交网络信息安全隐患处置反馈报告，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>信息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中心在复检无问题后恢复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（信息系统名称）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 的网络服务。</w:t>
      </w:r>
    </w:p>
    <w:p w14:paraId="27083AAF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  <w:lang w:val="en-US" w:eastAsia="zh-CN"/>
        </w:rPr>
        <w:t>部门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u w:val="single"/>
          <w:shd w:val="clear" w:color="auto" w:fill="auto"/>
        </w:rPr>
        <w:t>名称）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须按照“谁主管谁负责，谁使用谁负责，谁运维谁负责”的原则，责任到人，履行相应的网络信息安全责任与义务。</w:t>
      </w:r>
    </w:p>
    <w:p w14:paraId="1C2FE509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</w:p>
    <w:p w14:paraId="378FE43C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</w:p>
    <w:p w14:paraId="67634A6C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</w:p>
    <w:p w14:paraId="491B4B3A">
      <w:pPr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</w:p>
    <w:p w14:paraId="75C683D6">
      <w:pPr>
        <w:jc w:val="right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信息系统使用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>部门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名称：（盖章）</w:t>
      </w:r>
    </w:p>
    <w:p w14:paraId="21BB7E1B">
      <w:pPr>
        <w:jc w:val="center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第一责任人：（签字）</w:t>
      </w:r>
    </w:p>
    <w:p w14:paraId="63F6CEE6">
      <w:pPr>
        <w:jc w:val="center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日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  <w:lang w:val="en-US"/>
        </w:rPr>
        <w:t> 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color="auto" w:fill="auto"/>
        </w:rPr>
        <w:t>期：</w:t>
      </w:r>
    </w:p>
    <w:p w14:paraId="58453D96">
      <w:pPr>
        <w:ind w:firstLine="0"/>
        <w:rPr>
          <w:rFonts w:hint="eastAsia" w:ascii="仿宋" w:hAnsi="仿宋" w:eastAsia="仿宋" w:cs="仿宋"/>
          <w:sz w:val="28"/>
          <w:szCs w:val="20"/>
        </w:rPr>
      </w:pPr>
    </w:p>
    <w:p w14:paraId="49A03F56">
      <w:pPr>
        <w:rPr>
          <w:sz w:val="28"/>
          <w:szCs w:val="22"/>
        </w:rPr>
      </w:pPr>
    </w:p>
    <w:sectPr>
      <w:footerReference r:id="rId7" w:type="first"/>
      <w:footerReference r:id="rId5" w:type="default"/>
      <w:footerReference r:id="rId6" w:type="even"/>
      <w:pgSz w:w="11907" w:h="16840"/>
      <w:pgMar w:top="1440" w:right="1440" w:bottom="1440" w:left="1440" w:header="720" w:footer="118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36852C-623F-4A9D-A2C1-FC24B8A8BA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9D6B78A-EA93-4F56-909C-A0488E9ACD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09BDAB8-4181-46D2-8706-3A058BDB850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E726D634-C6AC-4B7E-9BA8-697426D134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ACA1C">
    <w:pPr>
      <w:spacing w:after="0" w:line="259" w:lineRule="auto"/>
      <w:ind w:right="-8" w:firstLine="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3FCFD">
    <w:pPr>
      <w:spacing w:after="0" w:line="259" w:lineRule="auto"/>
      <w:ind w:left="110" w:firstLine="0"/>
      <w:rPr>
        <w:rFonts w:hint="eastAsia" w:eastAsiaTheme="minor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020E6">
    <w:pPr>
      <w:spacing w:after="0" w:line="259" w:lineRule="auto"/>
      <w:ind w:right="-8" w:firstLine="0"/>
      <w:jc w:val="right"/>
      <w:rPr>
        <w:rFonts w:hint="eastAsia"/>
      </w:rPr>
    </w:pPr>
    <w:r>
      <w:rPr>
        <w:rFonts w:ascii="Times New Roman" w:hAnsi="Times New Roman" w:eastAsia="Times New Roman" w:cs="Times New Roman"/>
        <w:sz w:val="28"/>
      </w:rPr>
      <w:t>—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 w:eastAsia="Times New Roman" w:cs="Times New Roman"/>
        <w:sz w:val="28"/>
      </w:rPr>
      <w:t>1</w:t>
    </w:r>
    <w:r>
      <w:rPr>
        <w:rFonts w:ascii="Times New Roman" w:hAnsi="Times New Roman" w:eastAsia="Times New Roman" w:cs="Times New Roman"/>
        <w:sz w:val="28"/>
      </w:rPr>
      <w:fldChar w:fldCharType="end"/>
    </w:r>
    <w:r>
      <w:rPr>
        <w:rFonts w:ascii="Times New Roman" w:hAnsi="Times New Roman" w:eastAsia="Times New Roman" w:cs="Times New Roman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1" w:lineRule="auto"/>
      </w:pPr>
      <w:r>
        <w:separator/>
      </w:r>
    </w:p>
  </w:footnote>
  <w:footnote w:type="continuationSeparator" w:id="1">
    <w:p>
      <w:pPr>
        <w:spacing w:before="0" w:after="0" w:line="361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EE600A"/>
    <w:rsid w:val="1BEE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61" w:lineRule="auto"/>
      <w:ind w:firstLine="592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2026-09-03T06:06:00Z</dcterms:created>
  <dc:creator>青鸟</dc:creator>
  <cp:lastModifiedBy>青鸟</cp:lastModifiedBy>
  <dcterms:modified xsi:type="dcterms:W3CDTF">2026-09-03T06:07:53Z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C72FC47726D444D4B262ACE1CAC0757D_11</vt:lpwstr>
  </property>
  <property fmtid="{D5CDD505-2E9C-101B-9397-08002B2CF9AE}" pid="4" name="KSOTemplateDocerSaveRecord">
    <vt:lpwstr>eyJoZGlkIjoiNzk4NWNkNGNmZWI1MmYxZGIxMTFlNDVkZTQ0OTZjNTEiLCJ1c2VySWQiOiI3Mjk4NzEwMTcifQ==</vt:lpwstr>
  </property>
</Properties>
</file>